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DFEDE2" w:sz="4"/>
              <w:left w:val="single" w:color="DFEDE2" w:sz="4"/>
              <w:bottom w:val="single" w:color="DFEDE2" w:sz="4"/>
              <w:right w:val="single" w:color="DFEDE2" w:sz="4"/>
            </w:tcBorders>
            <w:shd w:fill="DFEDE2" w:color="auto" w:val="clear"/>
            <w:tcMar>
              <w:top w:type="dxa" w:w="220"/>
              <w:left w:type="dxa" w:w="280"/>
              <w:bottom w:type="dxa" w:w="220"/>
              <w:right w:type="dxa" w:w="280"/>
            </w:tcMar>
          </w:tcPr>
          <w:p>
            <w:pPr>
              <w:spacing w:after="160"/>
              <w:jc w:val="left"/>
            </w:pPr>
            <w:r>
              <w:rPr>
                <w:b/>
                <w:bCs/>
                <w:color w:val="FFFFFF"/>
                <w:spacing w:val="15"/>
                <w:sz w:val="16"/>
                <w:szCs w:val="16"/>
                <w:shd w:fill="1B3A5C" w:color="auto" w:val="clear"/>
              </w:rPr>
              <w:t xml:space="preserve">  THÈME 2 — LA DÉMARCHE STRATÉGIQUE  </w:t>
            </w:r>
          </w:p>
          <w:p>
            <w:pPr>
              <w:spacing w:after="140"/>
            </w:pPr>
            <w:r>
              <w:rPr>
                <w:b/>
                <w:bCs/>
                <w:color w:val="163F24"/>
                <w:spacing w:val="20"/>
                <w:sz w:val="16"/>
                <w:szCs w:val="16"/>
              </w:rPr>
              <w:t xml:space="preserve">CHAPITRE 2.4</w:t>
            </w:r>
            <w:r>
              <w:t xml:space="preserve">     </w:t>
            </w:r>
            <w:r>
              <w:rPr>
                <w:b/>
                <w:bCs/>
                <w:color w:val="13293D"/>
                <w:spacing w:val="20"/>
                <w:sz w:val="16"/>
                <w:szCs w:val="16"/>
              </w:rPr>
              <w:t xml:space="preserve">CORRIGÉ — PROFESSEUR</w:t>
            </w:r>
          </w:p>
          <w:p>
            <w:pPr>
              <w:spacing w:after="100"/>
            </w:pPr>
            <w:r>
              <w:rPr>
                <w:rFonts w:ascii="Georgia" w:cs="Georgia" w:eastAsia="Georgia" w:hAnsi="Georgia"/>
                <w:b/>
                <w:bCs/>
                <w:color w:val="2B2B2B"/>
                <w:sz w:val="40"/>
                <w:szCs w:val="40"/>
              </w:rPr>
              <w:t xml:space="preserve">Les choix stratégiques globaux (Corporate Strategy)</w:t>
            </w:r>
          </w:p>
          <w:p>
            <w:pPr>
              <w:spacing w:after="0"/>
            </w:pPr>
            <w:r>
              <w:rPr>
                <w:color w:val="6B6B6B"/>
                <w:sz w:val="20"/>
                <w:szCs w:val="20"/>
              </w:rPr>
              <w:t xml:space="preserve">Corrigé : toutes les réponses et notions du chapitre 2.4.</w:t>
            </w:r>
          </w:p>
        </w:tc>
      </w:tr>
    </w:tbl>
    <w:p>
      <w:pPr>
        <w:spacing w:after="200" w:before="0"/>
      </w:pPr>
    </w:p>
    <w:p>
      <w:pPr>
        <w:spacing w:after="140" w:before="0"/>
      </w:pPr>
      <w:r>
        <w:rPr>
          <w:sz w:val="21"/>
          <w:szCs w:val="21"/>
        </w:rPr>
        <w:t xml:space="preserve">Les stratégies globales (dites de « </w:t>
      </w:r>
      <w:r>
        <w:rPr>
          <w:b/>
          <w:bCs/>
          <w:color w:val="1E5631"/>
          <w:sz w:val="21"/>
          <w:szCs w:val="21"/>
        </w:rPr>
        <w:t xml:space="preserve">Corporate Strategy</w:t>
      </w:r>
      <w:r>
        <w:rPr>
          <w:sz w:val="21"/>
          <w:szCs w:val="21"/>
        </w:rPr>
        <w:t xml:space="preserve"> ») définissent le </w:t>
      </w:r>
      <w:r>
        <w:rPr>
          <w:b/>
          <w:bCs/>
          <w:color w:val="1E5631"/>
          <w:sz w:val="21"/>
          <w:szCs w:val="21"/>
        </w:rPr>
        <w:t xml:space="preserve">périmètre d'activité</w:t>
      </w:r>
      <w:r>
        <w:rPr>
          <w:sz w:val="21"/>
          <w:szCs w:val="21"/>
        </w:rPr>
        <w:t xml:space="preserve"> de l'entreprise : sur quels métiers et sur quels marchés souhaite-t-elle être présente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type="dxa" w:w="2409"/>
            <w:tcBorders>
              <w:top w:val="single" w:color="1E5631" w:sz="4"/>
              <w:left w:val="single" w:color="1E5631" w:sz="4"/>
              <w:bottom w:val="single" w:color="1E5631" w:sz="4"/>
              <w:right w:val="single" w:color="1E5631" w:sz="4"/>
            </w:tcBorders>
            <w:shd w:fill="1E563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Stratégie</w:t>
            </w:r>
          </w:p>
        </w:tc>
        <w:tc>
          <w:tcPr>
            <w:tcW w:type="dxa" w:w="2409"/>
            <w:tcBorders>
              <w:top w:val="single" w:color="1E5631" w:sz="4"/>
              <w:left w:val="single" w:color="1E5631" w:sz="4"/>
              <w:bottom w:val="single" w:color="1E5631" w:sz="4"/>
              <w:right w:val="single" w:color="1E5631" w:sz="4"/>
            </w:tcBorders>
            <w:shd w:fill="1E563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Caractéristiques</w:t>
            </w:r>
          </w:p>
        </w:tc>
        <w:tc>
          <w:tcPr>
            <w:tcW w:type="dxa" w:w="2409"/>
            <w:tcBorders>
              <w:top w:val="single" w:color="1E5631" w:sz="4"/>
              <w:left w:val="single" w:color="1E5631" w:sz="4"/>
              <w:bottom w:val="single" w:color="1E5631" w:sz="4"/>
              <w:right w:val="single" w:color="1E5631" w:sz="4"/>
            </w:tcBorders>
            <w:shd w:fill="1E563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Avantages</w:t>
            </w:r>
          </w:p>
        </w:tc>
        <w:tc>
          <w:tcPr>
            <w:tcW w:type="dxa" w:w="2409"/>
            <w:tcBorders>
              <w:top w:val="single" w:color="1E5631" w:sz="4"/>
              <w:left w:val="single" w:color="1E5631" w:sz="4"/>
              <w:bottom w:val="single" w:color="1E5631" w:sz="4"/>
              <w:right w:val="single" w:color="1E5631" w:sz="4"/>
            </w:tcBorders>
            <w:shd w:fill="1E563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Risques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1E5631"/>
                <w:sz w:val="17"/>
                <w:szCs w:val="17"/>
              </w:rPr>
              <w:t xml:space="preserve">Spécialisation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Concentration sur un seul métier et un marché unique.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Maîtrise poussée d'un savoir-faire fort, économies d'échelle liées au volume, construction d'une image d'expert reconnue, gestion simplifiée (un seul métier à piloter, organisation resserrée).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Dépendance totale à un seul marché : en cas de déclin sectoriel, de crise ou d'arrivée d'un concurrent plus compétitif, l'entreprise n'a aucune activité de repli pour compenser la perte de chiffre d'affaires.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1B3A5C"/>
                <w:sz w:val="17"/>
                <w:szCs w:val="17"/>
              </w:rPr>
              <w:t xml:space="preserve">Diversification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Engager l'entreprise dans de nouveaux métiers ou marchés.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Répartition des risques entre plusieurs activités, saisie de nouveaux relais de croissance, meilleure résistance aux crises sectorielles, effets de synergie possibles entre métiers (surtout en diversification liée).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Dispersion des ressources financières et humaines, risque de non-maîtrise des nouveaux métiers, perte de cohérence stratégique, coûts de coordination accrus entre les différentes activités.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1E5631"/>
                <w:sz w:val="17"/>
                <w:szCs w:val="17"/>
              </w:rPr>
              <w:t xml:space="preserve">Intégration verticale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Internalisation d'activités en amont (fournisseurs) ou en aval (distribution).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Sécurisation des approvisionnements ou des débouchés, meilleur contrôle des marges et de la qualité tout au long de la chaîne, réduction de la dépendance envers des tiers.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Manque de flexibilité face aux évolutions du marché, investissements financiers très lourds, risque de perte de compétitivité si les activités internalisées sont moins bien maîtrisées qu'un spécialiste externe.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1B3A5C"/>
                <w:sz w:val="17"/>
                <w:szCs w:val="17"/>
              </w:rPr>
              <w:t xml:space="preserve">Externalisation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Confier la réalisation d'activités non stratégiques à un tiers.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Réduction des coûts fixes, re-centrage sur le cœur de métier, accès à l'expertise et à la flexibilité d'un prestataire spécialisé, adaptation rapide aux variations d'activité.</w:t>
            </w:r>
          </w:p>
        </w:tc>
        <w:tc>
          <w:tcPr>
            <w:tcW w:type="dxa" w:w="240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color w:val="6B6B6B"/>
                <w:sz w:val="15"/>
                <w:szCs w:val="15"/>
              </w:rPr>
              <w:t xml:space="preserve">Dépendance envers le prestataire, perte de savoir-faire interne, risque de dégradation de la qualité ou de rupture de service, difficulté à réinternaliser l'activité par la suite.</w:t>
            </w:r>
          </w:p>
        </w:tc>
      </w:tr>
    </w:tbl>
    <w:p>
      <w:pPr>
        <w:spacing w:after="140" w:before="0"/>
      </w:pPr>
    </w:p>
    <w:p>
      <w:pPr>
        <w:spacing w:after="140" w:before="0"/>
      </w:pPr>
      <w:r>
        <w:rPr>
          <w:sz w:val="21"/>
          <w:szCs w:val="21"/>
        </w:rPr>
        <w:t xml:space="preserve">On distingue par ailleurs la diversification </w:t>
      </w:r>
      <w:r>
        <w:rPr>
          <w:b/>
          <w:bCs/>
          <w:color w:val="1E5631"/>
          <w:sz w:val="21"/>
          <w:szCs w:val="21"/>
        </w:rPr>
        <w:t xml:space="preserve">liée</w:t>
      </w:r>
      <w:r>
        <w:rPr>
          <w:sz w:val="21"/>
          <w:szCs w:val="21"/>
        </w:rPr>
        <w:t xml:space="preserve"> (nouvelles activités en lien avec le métier d'origine, ex. un fabricant de yaourts qui lance des boissons lactées) de la diversification </w:t>
      </w:r>
      <w:r>
        <w:rPr>
          <w:b/>
          <w:bCs/>
          <w:color w:val="1E5631"/>
          <w:sz w:val="21"/>
          <w:szCs w:val="21"/>
        </w:rPr>
        <w:t xml:space="preserve">conglomérale</w:t>
      </w:r>
      <w:r>
        <w:rPr>
          <w:sz w:val="21"/>
          <w:szCs w:val="21"/>
        </w:rPr>
        <w:t xml:space="preserve"> (activités sans lien apparent, ex. un groupe industriel qui investit dans l'hôtellerie).</w:t>
      </w:r>
    </w:p>
    <w:p>
      <w:pPr>
        <w:spacing w:after="160" w:before="0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B"/>
        <w:sz w:val="16"/>
        <w:szCs w:val="16"/>
      </w:rPr>
      <w:t xml:space="preserve">Page </w:t>
    </w:r>
    <w:r>
      <w:rPr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6B6B"/>
        <w:sz w:val="16"/>
        <w:szCs w:val="16"/>
      </w:rPr>
      <w:t xml:space="preserve"> / </w:t>
    </w:r>
    <w:r>
      <w:rPr>
        <w:color w:val="6B6B6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6B"/>
        <w:spacing w:val="10"/>
        <w:sz w:val="16"/>
        <w:szCs w:val="16"/>
      </w:rPr>
      <w:t xml:space="preserve">CEJM MANAGEMENT · THÈME 2 — CORRIGÉ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  <w:rPr>
        <w:color w:val="1E563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2B2B2B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1E5631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CEJM MANAGEMENT · THÈME 2 — CORRIGÉ</dc:title>
  <dc:creator>Marketing digital · E5</dc:creator>
  <cp:lastModifiedBy>Un-named</cp:lastModifiedBy>
  <cp:revision>1</cp:revision>
  <dcterms:created xsi:type="dcterms:W3CDTF">2026-09-22T15:23:02.773Z</dcterms:created>
  <dcterms:modified xsi:type="dcterms:W3CDTF">2026-09-22T15:23:02.773Z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