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ce6ee" w:space="0" w:sz="4" w:val="single"/>
              <w:left w:color="dce6ee" w:space="0" w:sz="4" w:val="single"/>
              <w:bottom w:color="dce6ee" w:space="0" w:sz="4" w:val="single"/>
              <w:right w:color="dce6ee" w:space="0" w:sz="4" w:val="single"/>
            </w:tcBorders>
            <w:shd w:fill="dce6ee" w:val="clear"/>
            <w:tcMar>
              <w:top w:w="220.0" w:type="dxa"/>
              <w:left w:w="280.0" w:type="dxa"/>
              <w:bottom w:w="220.0" w:type="dxa"/>
              <w:right w:w="280.0" w:type="dxa"/>
            </w:tcMar>
          </w:tcPr>
          <w:p w:rsidR="00000000" w:rsidDel="00000000" w:rsidP="00000000" w:rsidRDefault="00000000" w:rsidRPr="00000000" w14:paraId="00000002">
            <w:pPr>
              <w:spacing w:after="16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shd w:fill="1e5631" w:val="clear"/>
                <w:rtl w:val="0"/>
              </w:rPr>
              <w:t xml:space="preserve">  THÈME 2 — LA DÉMARCHE STRATÉGIQUE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40" w:lineRule="auto"/>
              <w:rPr/>
            </w:pPr>
            <w:r w:rsidDel="00000000" w:rsidR="00000000" w:rsidRPr="00000000">
              <w:rPr>
                <w:b w:val="1"/>
                <w:bCs w:val="1"/>
                <w:color w:val="13293d"/>
                <w:sz w:val="16"/>
                <w:szCs w:val="16"/>
                <w:rtl w:val="0"/>
              </w:rPr>
              <w:t xml:space="preserve">CHAPITRE 2.4</w:t>
            </w: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color w:val="163f24"/>
                <w:sz w:val="16"/>
                <w:szCs w:val="16"/>
                <w:rtl w:val="0"/>
              </w:rPr>
              <w:t xml:space="preserve">FICHE À TROUS — ÉLÈVE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00" w:lineRule="auto"/>
              <w:rPr>
                <w:rFonts w:ascii="Georgia" w:cs="Georgia" w:eastAsia="Georgia" w:hAnsi="Georgia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b2b2b"/>
                <w:sz w:val="40"/>
                <w:szCs w:val="40"/>
                <w:rtl w:val="0"/>
              </w:rPr>
              <w:t xml:space="preserve">Les choix stratégiques globaux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00" w:lineRule="auto"/>
              <w:rPr/>
            </w:pPr>
            <w:r w:rsidDel="00000000" w:rsidR="00000000" w:rsidRPr="00000000">
              <w:rPr>
                <w:color w:val="6b6b6b"/>
                <w:sz w:val="20"/>
                <w:szCs w:val="20"/>
                <w:rtl w:val="0"/>
              </w:rPr>
              <w:t xml:space="preserve">Complétez chaque blanc à l'aide des indices et des banques de mots.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0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before="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stratégies globales (dites de « ________________ ») définissent le ________________ de l'entreprise : sur quels métiers et sur quels marchés souhaite-t-elle être présente ?</w:t>
      </w:r>
    </w:p>
    <w:p w:rsidR="00000000" w:rsidDel="00000000" w:rsidP="00000000" w:rsidRDefault="00000000" w:rsidRPr="00000000" w14:paraId="00000008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before="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Après chaque vidéo, repérer la stratégie choisie, les avantages et les inconvénients.</w:t>
      </w:r>
    </w:p>
    <w:p w:rsidR="00000000" w:rsidDel="00000000" w:rsidP="00000000" w:rsidRDefault="00000000" w:rsidRPr="00000000" w14:paraId="0000000A">
      <w:pPr>
        <w:spacing w:after="140" w:before="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40" w:before="0" w:lineRule="auto"/>
        <w:rPr/>
      </w:pPr>
      <w:r w:rsidDel="00000000" w:rsidR="00000000" w:rsidRPr="00000000">
        <w:rPr>
          <w:rtl w:val="0"/>
        </w:rPr>
        <w:t xml:space="preserve"> </w:t>
      </w:r>
      <w:hyperlink r:id="rId7">
        <w:r w:rsidDel="00000000" w:rsidR="00000000" w:rsidRPr="00000000">
          <w:rPr>
            <w:color w:val="0000ee"/>
            <w:u w:val="single"/>
            <w:rtl w:val="0"/>
          </w:rPr>
          <w:t xml:space="preserve">Pâques : La bataille du chocolat !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140" w:before="0" w:lineRule="auto"/>
        <w:rPr/>
      </w:pP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Rossignol, une entreprise sociale et collaborative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40" w:before="0" w:lineRule="auto"/>
        <w:rPr/>
      </w:pP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Profession : nettoyeurs de l'extrême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40" w:before="0" w:lineRule="auto"/>
        <w:rPr/>
      </w:pP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Disneyland Paris : retour sur 35 ans d'histoire</w:t>
        </w:r>
      </w:hyperlink>
      <w:r w:rsidDel="00000000" w:rsidR="00000000" w:rsidRPr="00000000">
        <w:rPr>
          <w:rtl w:val="0"/>
        </w:rPr>
        <w:t xml:space="preserve"> (26’ à 56’)</w:t>
      </w:r>
    </w:p>
    <w:p w:rsidR="00000000" w:rsidDel="00000000" w:rsidP="00000000" w:rsidRDefault="00000000" w:rsidRPr="00000000" w14:paraId="0000000F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9"/>
        <w:gridCol w:w="2409"/>
        <w:gridCol w:w="2409"/>
        <w:gridCol w:w="2409"/>
        <w:tblGridChange w:id="0">
          <w:tblGrid>
            <w:gridCol w:w="2409"/>
            <w:gridCol w:w="2409"/>
            <w:gridCol w:w="2409"/>
            <w:gridCol w:w="240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1b3a5c" w:space="0" w:sz="4" w:val="single"/>
              <w:left w:color="1b3a5c" w:space="0" w:sz="4" w:val="single"/>
              <w:bottom w:color="1b3a5c" w:space="0" w:sz="4" w:val="single"/>
              <w:right w:color="1b3a5c" w:space="0" w:sz="4" w:val="single"/>
            </w:tcBorders>
            <w:shd w:fill="1b3a5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Stratégie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b3a5c" w:space="0" w:sz="4" w:val="single"/>
              <w:left w:color="1b3a5c" w:space="0" w:sz="4" w:val="single"/>
              <w:bottom w:color="1b3a5c" w:space="0" w:sz="4" w:val="single"/>
              <w:right w:color="1b3a5c" w:space="0" w:sz="4" w:val="single"/>
            </w:tcBorders>
            <w:shd w:fill="1b3a5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Caractéristiques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b3a5c" w:space="0" w:sz="4" w:val="single"/>
              <w:left w:color="1b3a5c" w:space="0" w:sz="4" w:val="single"/>
              <w:bottom w:color="1b3a5c" w:space="0" w:sz="4" w:val="single"/>
              <w:right w:color="1b3a5c" w:space="0" w:sz="4" w:val="single"/>
            </w:tcBorders>
            <w:shd w:fill="1b3a5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Avantages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b3a5c" w:space="0" w:sz="4" w:val="single"/>
              <w:left w:color="1b3a5c" w:space="0" w:sz="4" w:val="single"/>
              <w:bottom w:color="1b3a5c" w:space="0" w:sz="4" w:val="single"/>
              <w:right w:color="1b3a5c" w:space="0" w:sz="4" w:val="single"/>
            </w:tcBorders>
            <w:shd w:fill="1b3a5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Risques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1.5748031496064" w:hRule="atLeast"/>
          <w:tblHeader w:val="0"/>
        </w:trPr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1.5748031496064" w:hRule="atLeast"/>
          <w:tblHeader w:val="0"/>
        </w:trPr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1.5748031496064" w:hRule="atLeast"/>
          <w:tblHeader w:val="0"/>
        </w:trPr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1.5748031496064" w:hRule="atLeast"/>
          <w:tblHeader w:val="0"/>
        </w:trPr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4" w:val="single"/>
              <w:left w:color="cfcfcf" w:space="0" w:sz="4" w:val="single"/>
              <w:bottom w:color="cfcfcf" w:space="0" w:sz="4" w:val="single"/>
              <w:right w:color="cfcfcf" w:space="0" w:sz="4" w:val="single"/>
            </w:tcBorders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40" w:before="0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On distingue par ailleurs la diversification ________________ (nouvelles activités en lien avec le métier d'origine, ex. un fabricant de yaourts qui lance des boissons lactées) de la diversification ________________ (activités sans lien apparent, ex. un groupe industriel qui investit dans l'hôtellerie).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0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1e5631" w:space="0" w:sz="4" w:val="single"/>
              <w:left w:color="1e5631" w:space="0" w:sz="4" w:val="single"/>
              <w:bottom w:color="1e5631" w:space="0" w:sz="4" w:val="single"/>
              <w:right w:color="1e5631" w:space="0" w:sz="4" w:val="single"/>
            </w:tcBorders>
            <w:shd w:fill="dfede2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6">
            <w:pPr>
              <w:keepNext w:val="1"/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163f24"/>
                <w:sz w:val="16"/>
                <w:szCs w:val="16"/>
                <w:rtl w:val="0"/>
              </w:rPr>
              <w:t xml:space="preserve">BANQUE DE MOTS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400" w:lineRule="auto"/>
              <w:rPr/>
            </w:pP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Intégration verticale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Externalisation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Corporate Strategy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Diversification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Spécialisation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conglomérale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liée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color w:val="163f24"/>
                <w:sz w:val="18"/>
                <w:szCs w:val="18"/>
                <w:rtl w:val="0"/>
              </w:rPr>
              <w:t xml:space="preserve"> périmètre d'activité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after="160" w:before="0" w:lineRule="auto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566.9291338582677" w:top="566.9291338582677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jc w:val="center"/>
      <w:rPr/>
    </w:pPr>
    <w:r w:rsidDel="00000000" w:rsidR="00000000" w:rsidRPr="00000000">
      <w:rPr>
        <w:color w:val="6b6b6b"/>
        <w:sz w:val="16"/>
        <w:szCs w:val="16"/>
        <w:rtl w:val="0"/>
      </w:rPr>
      <w:t xml:space="preserve">Page </w:t>
    </w:r>
    <w:r w:rsidDel="00000000" w:rsidR="00000000" w:rsidRPr="00000000">
      <w:rPr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b6b6b"/>
        <w:sz w:val="16"/>
        <w:szCs w:val="16"/>
        <w:rtl w:val="0"/>
      </w:rPr>
      <w:t xml:space="preserve"> / </w:t>
    </w:r>
    <w:r w:rsidDel="00000000" w:rsidR="00000000" w:rsidRPr="00000000">
      <w:rPr>
        <w:color w:val="6b6b6b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jc w:val="right"/>
      <w:rPr/>
    </w:pPr>
    <w:r w:rsidDel="00000000" w:rsidR="00000000" w:rsidRPr="00000000">
      <w:rPr>
        <w:color w:val="6b6b6b"/>
        <w:sz w:val="16"/>
        <w:szCs w:val="16"/>
        <w:rtl w:val="0"/>
      </w:rPr>
      <w:t xml:space="preserve">CEJM MANAGEMENT · THÈME 2 — FICHE À TROUS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b2b2b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b2b2b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1b3a5c"/>
      <w:sz w:val="23"/>
      <w:szCs w:val="23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b2b2b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youtube.com/watch?v=5uXiykkpMro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youtube.com/watch?v=zeDPPpN4Ik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ldlLsO6v7EE&amp;t=2s" TargetMode="External"/><Relationship Id="rId8" Type="http://schemas.openxmlformats.org/officeDocument/2006/relationships/hyperlink" Target="https://www.youtube.com/watch?v=mnbAsdp4I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j0+6BTQQj7OVn7m/6+08LGU8iA==">CgMxLjA4AHIhMXdnbXhpd2hoWmVta2htRzRESUxPN1BhTXZqY0lEQVhF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2026-09-22T13:25:35.830Z</dcterms:created>
  <dc:creator>Marketing digital · E5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